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申报硕士课程目录</w:t>
      </w:r>
    </w:p>
    <w:tbl>
      <w:tblPr>
        <w:tblStyle w:val="3"/>
        <w:tblW w:w="4997" w:type="pct"/>
        <w:tblInd w:w="0" w:type="dxa"/>
        <w:tblBorders>
          <w:top w:val="single" w:color="444444" w:sz="4" w:space="0"/>
          <w:left w:val="single" w:color="444444" w:sz="4" w:space="0"/>
          <w:bottom w:val="single" w:color="444444" w:sz="4" w:space="0"/>
          <w:right w:val="single" w:color="444444" w:sz="4" w:space="0"/>
          <w:insideH w:val="single" w:color="444444" w:sz="4" w:space="0"/>
          <w:insideV w:val="single" w:color="444444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994"/>
        <w:gridCol w:w="4757"/>
        <w:gridCol w:w="2309"/>
        <w:gridCol w:w="1482"/>
        <w:gridCol w:w="2604"/>
      </w:tblGrid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硕士课程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专业描述/可选专业方向</w:t>
            </w:r>
          </w:p>
        </w:tc>
        <w:tc>
          <w:tcPr>
            <w:tcW w:w="8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是否适用于3+1+X项目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加权平均分 （WAM)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注意事项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人文、设计与建筑学院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策展及文化领导力硕士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9318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模拟及沉浸式技术硕士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9323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9313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可选单一方向，也可以多个方向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：图形传播、空间体验、交互设计、视觉设计、新材料设计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2年，学生若无相关背景则须提供作品集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应用语言学硕士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8236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发展研究硕士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8942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环境管理硕士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8623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国际关系硕士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8233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公共政策与治理硕士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8259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新闻与传播硕士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8232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公共关系与广告硕士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8281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公共关系与广告/设计硕士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8234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双学位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笔译与口译硕士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8204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2年，参加测试以证明高级水平的双语能力（选择普通话为专业方向的中国学生无需参加测试）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笔译硕士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8203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1.7年，参加测试以证明高级水平的双语能力（选择普通话为专业方向的中国学生无需参加测试）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口译硕士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8202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人文与社会科学双学位硕士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8224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可在以上专业中选择2个，但必须同时满足每个项目1年制入学条件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2年，依各硕士课程要求而定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8913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教育领导力硕士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8963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选项A：是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选项B：有条件适用</w:t>
            </w:r>
          </w:p>
        </w:tc>
        <w:tc>
          <w:tcPr>
            <w:tcW w:w="523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城市规划硕士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8148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建筑学硕士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8143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可选generalist或者其中一下任一stream:高性能技术、住宅、社会机构、城市状况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2年，提供所在国建筑学学位（总平均分大于或等于65分）并提供作品集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若总平均分低于65分，需提供所在国建筑学学位且最后2年平均分等于或大于70分（或可提供第3年成绩及SA成绩单）并提供作品集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建筑工程项目管理/地产开发双学位硕士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8121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2-2.4年，学生需有所在国相关学位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房地产及开发硕士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8127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1.7年，学生需有所在国相关学位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商学硕士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8404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以下专业方向选其一：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会计、全球可持续发展与社会影响、战略与创新、经济学与金融、金融、金融科技、商业分析、网络安全风险及隐私、数字化转型、市场分析、市场营销、国际商务、人力资源管理、风险管理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商学硕士（延伸课程）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8417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以下专业方向选其二：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会计、全球可持续发展与社会影响、战略与创新、经济学与金融、金融、金融科技、商业分析、网络安全风险及隐私、数字化转型、市场分析、市场营销、国际商务、人力资源管理、风险管理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国际商务硕士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8371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专业会计硕士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8409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专业会计硕士（延伸课程）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8415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可多选4门课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9201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LLM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要求学生有所在国院校学习法学、社会科学或人文专业（包括人文、管理学会计、经济学、管理学、传播学、犯罪学、政策研究、国际研究、心理学、规划学等）学习背景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法学博士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JD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工程学部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工程科学硕士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8338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以下专业方向至少选其一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生物医学工程、化学工程、土木工程、环境工程、岩土工程与工程地质、项目管理、结构工程、交通工程、水利工程（流域与海岸）、水利工程（废水处理）、电气工程、能源系统、系统与控制、航天系统工程、可持续系统、核工程、食品加工工程、机械与先进制造工程、机器人学、光伏及太阳能、可再生能源、电信工程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选项A：须持有相关学科领域学位且平均分达到65分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选项B：持有任何学科学位且平均分达到65分，将获得工程科学研究生证书（7373 Diploma），之后可转入工程科学硕士学位项目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8543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以下专业方向至少选其一：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人工智能、信息技术、数据库系统、数据科学与工程、网络互联、网络安全工程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选项A：须持有相关学科领域学位且平均分达到65分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选项B：持有任何学科学位且平均分达到65分，将获得信息技术研究生证书（7546 Diploma），之后可转入信息技术硕士学位项目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理学部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海洋环境科学与管理硕士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8271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1.7年，须拥有所在国理学类学位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材料技术硕士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8717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2年，须拥有所在国理学或工程类学位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8719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1.7年，须拥有所在国统计学或数学类学位，总平均分达到65分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总平均分达到65分，且至少3门数学、统计类科目达III程度</w:t>
            </w: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统计学硕士</w:t>
            </w:r>
          </w:p>
        </w:tc>
        <w:tc>
          <w:tcPr>
            <w:tcW w:w="3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6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444444" w:sz="4" w:space="0"/>
            <w:left w:val="single" w:color="444444" w:sz="4" w:space="0"/>
            <w:bottom w:val="single" w:color="444444" w:sz="4" w:space="0"/>
            <w:right w:val="single" w:color="444444" w:sz="4" w:space="0"/>
            <w:insideH w:val="single" w:color="444444" w:sz="4" w:space="0"/>
            <w:insideV w:val="single" w:color="444444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金融数学硕士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8161</w:t>
            </w:r>
          </w:p>
        </w:tc>
        <w:tc>
          <w:tcPr>
            <w:tcW w:w="167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有条件适用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pacing w:after="1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悉尼新南威尔士大学保留未提前通知更改信息的权利。中文翻译仅供参考。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Song St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ODQ0M2M2YzE0ODJkZDI0OTlhNDAxOWVlOWI4ZDMifQ=="/>
  </w:docVars>
  <w:rsids>
    <w:rsidRoot w:val="67B367E2"/>
    <w:rsid w:val="67B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a6"/>
    <w:basedOn w:val="6"/>
    <w:next w:val="6"/>
    <w:autoRedefine/>
    <w:qFormat/>
    <w:uiPriority w:val="99"/>
    <w:pPr>
      <w:spacing w:line="241" w:lineRule="atLeast"/>
    </w:pPr>
    <w:rPr>
      <w:rFonts w:cstheme="minorBidi"/>
      <w:color w:val="auto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dobe Song Std" w:eastAsia="Adobe Song Std" w:cs="Adobe Song Std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2024-03-04T07:04:00Z</dcterms:created>
  <dc:creator>张炜佳（Joanna）</dc:creator>
  <cp:lastModifiedBy>张炜佳（Joanna）</cp:lastModifiedBy>
  <dcterms:modified xsi:type="dcterms:W3CDTF">2024-03-04T07:05:25Z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39480C32BD1748C694CCA4F81D9A11A6_11</vt:lpwstr>
  </property>
</Properties>
</file>